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894155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94155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Развитие коневодства на Северо-Западе России. Государственная поддержка к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онных предприятий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CA1770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CA1770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894155" w:rsidRPr="00894155">
        <w:rPr>
          <w:rFonts w:ascii="Times New Roman" w:hAnsi="Times New Roman"/>
          <w:b/>
          <w:color w:val="FF0000"/>
          <w:sz w:val="28"/>
          <w:szCs w:val="28"/>
        </w:rPr>
        <w:lastRenderedPageBreak/>
        <w:t>Развитие коневодства на Северо-Западе России. Государственная поддержка конных предприятий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CA1770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5B2E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55B2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Спортивное коневодство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55B2E" w:rsidP="00AE777E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55B2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Государственная поддержка конных предприятий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B334A8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B334A8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AE777E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543355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E55B2E" w:rsidRDefault="00E55B2E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E2217A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894155" w:rsidRPr="00894155">
        <w:rPr>
          <w:rFonts w:ascii="Times New Roman" w:hAnsi="Times New Roman"/>
          <w:b/>
          <w:i/>
          <w:color w:val="FF0000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894155" w:rsidP="0089415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Спортивное коневодство в России</w:t>
            </w:r>
          </w:p>
        </w:tc>
        <w:tc>
          <w:tcPr>
            <w:tcW w:w="6662" w:type="dxa"/>
            <w:vAlign w:val="center"/>
          </w:tcPr>
          <w:p w:rsidR="00894155" w:rsidRPr="00894155" w:rsidRDefault="00894155" w:rsidP="0089415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89415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Состояние и развитие спортивного коневодства в России, в Северо-западном регионе. Проблемы. Перспективы развития.</w:t>
            </w:r>
          </w:p>
          <w:p w:rsidR="00FB2484" w:rsidRPr="003D69F7" w:rsidRDefault="00894155" w:rsidP="00894155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894155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Заводские испытания молодняка лошадей спортивных пород. Взаимосвязь коннозаводства с конным спортом. Проблемы. Поиск путей решений.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894155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Государственная поддержка конных предприятий</w:t>
            </w:r>
          </w:p>
        </w:tc>
        <w:tc>
          <w:tcPr>
            <w:tcW w:w="6662" w:type="dxa"/>
            <w:vAlign w:val="center"/>
          </w:tcPr>
          <w:p w:rsidR="00FB2484" w:rsidRPr="003D69F7" w:rsidRDefault="00894155" w:rsidP="00894155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89415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Работа с Администрациями и </w:t>
            </w:r>
            <w:proofErr w:type="spellStart"/>
            <w:r w:rsidRPr="0089415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Комитетами</w:t>
            </w:r>
            <w:proofErr w:type="gramStart"/>
            <w:r w:rsidRPr="0089415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.Г</w:t>
            </w:r>
            <w:proofErr w:type="gramEnd"/>
            <w:r w:rsidRPr="0089415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осударственная</w:t>
            </w:r>
            <w:proofErr w:type="spellEnd"/>
            <w:r w:rsidRPr="00894155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поддержка конных предприятий в Ленинградской области. Рекомендации. Актуальные вопросы организации, проектирования и строительства конных предприятий. Опыт и рекомендации руководителей КСК и КФХ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894155" w:rsidRPr="00894155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Развитие коневодства на Северо-Западе России. Государственная поддержка конных предприятий</w:t>
            </w:r>
            <w:r w:rsidR="00B334A8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65071" w:rsidRDefault="00D6507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E55B2E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55B2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Спортивное коневодство в России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E55B2E" w:rsidP="00AE777E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55B2E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Государственная поддержка конных предприятий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D67D11" w:rsidRPr="00D67D11" w:rsidRDefault="00286452" w:rsidP="00E55B2E">
      <w:pPr>
        <w:widowControl w:val="0"/>
        <w:suppressAutoHyphens/>
        <w:ind w:firstLine="72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E2217A" w:rsidRDefault="00E2217A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bookmarkStart w:id="0" w:name="_GoBack"/>
      <w:bookmarkEnd w:id="0"/>
      <w:r w:rsidRPr="00070220">
        <w:rPr>
          <w:rFonts w:ascii="Times New Roman" w:hAnsi="Times New Roman"/>
          <w:b/>
          <w:iCs/>
          <w:sz w:val="28"/>
          <w:szCs w:val="28"/>
        </w:rPr>
        <w:lastRenderedPageBreak/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304" w:rsidRDefault="00D60304" w:rsidP="00AE57A0">
      <w:r>
        <w:separator/>
      </w:r>
    </w:p>
  </w:endnote>
  <w:endnote w:type="continuationSeparator" w:id="0">
    <w:p w:rsidR="00D60304" w:rsidRDefault="00D60304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17A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304" w:rsidRDefault="00D60304" w:rsidP="00AE57A0">
      <w:r>
        <w:separator/>
      </w:r>
    </w:p>
  </w:footnote>
  <w:footnote w:type="continuationSeparator" w:id="0">
    <w:p w:rsidR="00D60304" w:rsidRDefault="00D60304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C33E5"/>
    <w:rsid w:val="000F223B"/>
    <w:rsid w:val="001115F8"/>
    <w:rsid w:val="00114A4C"/>
    <w:rsid w:val="001230D7"/>
    <w:rsid w:val="00142ACE"/>
    <w:rsid w:val="0018137B"/>
    <w:rsid w:val="0020653B"/>
    <w:rsid w:val="00270880"/>
    <w:rsid w:val="00286452"/>
    <w:rsid w:val="002C5C52"/>
    <w:rsid w:val="003D69F7"/>
    <w:rsid w:val="00406E46"/>
    <w:rsid w:val="004673E4"/>
    <w:rsid w:val="00494D1C"/>
    <w:rsid w:val="004A1864"/>
    <w:rsid w:val="004B002D"/>
    <w:rsid w:val="004D73D8"/>
    <w:rsid w:val="0053617F"/>
    <w:rsid w:val="00543355"/>
    <w:rsid w:val="0054432A"/>
    <w:rsid w:val="00567A45"/>
    <w:rsid w:val="005A7597"/>
    <w:rsid w:val="005D4232"/>
    <w:rsid w:val="005E259E"/>
    <w:rsid w:val="0062635A"/>
    <w:rsid w:val="00656A50"/>
    <w:rsid w:val="006859F6"/>
    <w:rsid w:val="007064C8"/>
    <w:rsid w:val="007A39C4"/>
    <w:rsid w:val="007A68A0"/>
    <w:rsid w:val="007B5FDF"/>
    <w:rsid w:val="00800052"/>
    <w:rsid w:val="00831700"/>
    <w:rsid w:val="008876FC"/>
    <w:rsid w:val="00894155"/>
    <w:rsid w:val="00896DA6"/>
    <w:rsid w:val="008E34C6"/>
    <w:rsid w:val="00901A62"/>
    <w:rsid w:val="009025F0"/>
    <w:rsid w:val="00907F5D"/>
    <w:rsid w:val="00A302FE"/>
    <w:rsid w:val="00A745B0"/>
    <w:rsid w:val="00AE57A0"/>
    <w:rsid w:val="00AE777E"/>
    <w:rsid w:val="00B334A8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1770"/>
    <w:rsid w:val="00CA21B7"/>
    <w:rsid w:val="00CC7FF3"/>
    <w:rsid w:val="00D262B4"/>
    <w:rsid w:val="00D43C48"/>
    <w:rsid w:val="00D577CD"/>
    <w:rsid w:val="00D60304"/>
    <w:rsid w:val="00D65071"/>
    <w:rsid w:val="00D67D11"/>
    <w:rsid w:val="00D9754C"/>
    <w:rsid w:val="00DA50AD"/>
    <w:rsid w:val="00DD7EBD"/>
    <w:rsid w:val="00DF3A76"/>
    <w:rsid w:val="00E20788"/>
    <w:rsid w:val="00E2217A"/>
    <w:rsid w:val="00E44F09"/>
    <w:rsid w:val="00E55B2E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2019-05-18T15:25:00Z</cp:lastPrinted>
  <dcterms:created xsi:type="dcterms:W3CDTF">2019-09-10T09:44:00Z</dcterms:created>
  <dcterms:modified xsi:type="dcterms:W3CDTF">2019-09-11T07:28:00Z</dcterms:modified>
</cp:coreProperties>
</file>