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EF0075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F007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Применение дополнит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ельных средств работы с лошадью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7D0D3C" w:rsidP="007D0D3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F972AB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EF0075" w:rsidRPr="00EF0075">
        <w:rPr>
          <w:rFonts w:ascii="Times New Roman" w:hAnsi="Times New Roman"/>
          <w:b/>
          <w:color w:val="FF0000"/>
          <w:sz w:val="28"/>
          <w:szCs w:val="28"/>
        </w:rPr>
        <w:lastRenderedPageBreak/>
        <w:t>Применение дополнительных средств работы с лошадью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  <w:proofErr w:type="gramEnd"/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proofErr w:type="gramStart"/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proofErr w:type="gramStart"/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  <w:proofErr w:type="gramEnd"/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7D0D3C"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2E2C7A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2E2C7A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Основы </w:t>
            </w:r>
            <w:proofErr w:type="spellStart"/>
            <w:r w:rsidRPr="002E2C7A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лонжирования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3D69F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2E2C7A" w:rsidP="006859F6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2E2C7A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Техники работы с вспомогательными средствами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7D0D3C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7D0D3C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577CD" w:rsidRDefault="00D577CD" w:rsidP="00D577CD">
      <w:pPr>
        <w:ind w:firstLine="720"/>
        <w:rPr>
          <w:rFonts w:ascii="Times New Roman" w:hAnsi="Times New Roman"/>
          <w:color w:val="FF0000"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7D0D3C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r w:rsidR="00EF0075" w:rsidRPr="00EF0075">
        <w:rPr>
          <w:rFonts w:ascii="Times New Roman" w:hAnsi="Times New Roman"/>
          <w:b/>
          <w:i/>
          <w:color w:val="FF0000"/>
          <w:sz w:val="28"/>
          <w:szCs w:val="28"/>
        </w:rPr>
        <w:t>Применение дополнительных средств работы с лошадью</w:t>
      </w:r>
      <w:r w:rsidR="00B50A6D" w:rsidRPr="007D0D3C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</w:t>
            </w: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обучения по темам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 xml:space="preserve">, наименование и тематика практических занятий, самостоятельной работы </w:t>
            </w:r>
          </w:p>
        </w:tc>
      </w:tr>
      <w:tr w:rsidR="005A7597" w:rsidRPr="005A7597" w:rsidTr="002E2C7A">
        <w:trPr>
          <w:trHeight w:val="681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2E2C7A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лонжирования</w:t>
            </w:r>
            <w:proofErr w:type="spellEnd"/>
          </w:p>
        </w:tc>
        <w:tc>
          <w:tcPr>
            <w:tcW w:w="6662" w:type="dxa"/>
            <w:vAlign w:val="center"/>
          </w:tcPr>
          <w:p w:rsidR="00FB2484" w:rsidRPr="003D69F7" w:rsidRDefault="002E2C7A" w:rsidP="002E2C7A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proofErr w:type="spellStart"/>
            <w:r w:rsidRPr="002E2C7A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Лонжирование</w:t>
            </w:r>
            <w:proofErr w:type="spellEnd"/>
            <w:r w:rsidRPr="002E2C7A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2E2C7A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Работа на </w:t>
            </w:r>
            <w:proofErr w:type="gramStart"/>
            <w:r w:rsidRPr="002E2C7A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дубль-лонже</w:t>
            </w:r>
            <w:proofErr w:type="gramEnd"/>
            <w:r w:rsidRPr="002E2C7A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2E2C7A" w:rsidP="001230D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Техники работы с вспомогательными средствами</w:t>
            </w:r>
          </w:p>
        </w:tc>
        <w:tc>
          <w:tcPr>
            <w:tcW w:w="6662" w:type="dxa"/>
            <w:vAlign w:val="center"/>
          </w:tcPr>
          <w:p w:rsidR="00FB2484" w:rsidRPr="003D69F7" w:rsidRDefault="002E2C7A" w:rsidP="002E2C7A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2E2C7A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Вспомогательные сре</w:t>
            </w:r>
            <w:bookmarkStart w:id="0" w:name="_GoBack"/>
            <w:bookmarkEnd w:id="0"/>
            <w:r w:rsidRPr="002E2C7A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дства при работе с лошадью на корде и под седлом: </w:t>
            </w:r>
            <w:proofErr w:type="spellStart"/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шамбон</w:t>
            </w:r>
            <w:proofErr w:type="spellEnd"/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EF0075" w:rsidRPr="00EF0075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гог</w:t>
            </w:r>
            <w:proofErr w:type="spellEnd"/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, </w:t>
            </w:r>
            <w:r w:rsidR="00EF0075" w:rsidRPr="00EF0075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развязки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, </w:t>
            </w:r>
            <w:r w:rsidR="00EF0075" w:rsidRPr="00EF0075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венский повод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, повод </w:t>
            </w:r>
            <w:proofErr w:type="spellStart"/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Тидельманна</w:t>
            </w:r>
            <w:proofErr w:type="spellEnd"/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, повод </w:t>
            </w:r>
            <w:proofErr w:type="spellStart"/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Кольберта</w:t>
            </w:r>
            <w:proofErr w:type="spellEnd"/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, скользящий повод, </w:t>
            </w:r>
            <w:r w:rsidR="00EF0075" w:rsidRPr="00EF0075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мартингал</w:t>
            </w:r>
            <w:r w:rsidR="00AF1D1D" w:rsidRPr="00AF1D1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415C5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EF0075" w:rsidRPr="00EF0075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Применение дополнительных средств работы с лошадью</w:t>
            </w:r>
            <w:r w:rsidRPr="00AE57A0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DD5EC1" w:rsidRDefault="00DD5EC1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B7572C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2E2C7A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E2C7A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Основы </w:t>
            </w:r>
            <w:proofErr w:type="spellStart"/>
            <w:r w:rsidRPr="002E2C7A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лонжирования</w:t>
            </w:r>
            <w:proofErr w:type="spellEnd"/>
          </w:p>
        </w:tc>
        <w:tc>
          <w:tcPr>
            <w:tcW w:w="5903" w:type="dxa"/>
            <w:vAlign w:val="center"/>
          </w:tcPr>
          <w:p w:rsidR="00800052" w:rsidRDefault="00800052" w:rsidP="00B7572C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B7572C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B7572C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B7572C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2E2C7A" w:rsidP="00800052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2E2C7A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Техники работы с вспомогательными средствами</w:t>
            </w:r>
          </w:p>
        </w:tc>
        <w:tc>
          <w:tcPr>
            <w:tcW w:w="5903" w:type="dxa"/>
            <w:vAlign w:val="center"/>
          </w:tcPr>
          <w:p w:rsidR="00800052" w:rsidRDefault="00800052" w:rsidP="00B7572C">
            <w:pPr>
              <w:widowControl w:val="0"/>
              <w:suppressAutoHyphens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B7572C">
            <w:pPr>
              <w:widowControl w:val="0"/>
              <w:suppressAutoHyphens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B7572C">
            <w:pPr>
              <w:widowControl w:val="0"/>
              <w:suppressAutoHyphens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2C7A" w:rsidRDefault="002E2C7A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2C7A" w:rsidRDefault="002E2C7A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D5EC1" w:rsidRDefault="00DD5EC1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Жигачев А. И. Все о лошади. - СПб</w:t>
      </w:r>
      <w:proofErr w:type="gram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Нормы технологического проектирования коневодческих предприятий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 Вот каким образом достигается здоровье жеребенка: Пер. с 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нем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B7572C" w:rsidRDefault="00B7572C" w:rsidP="00B7572C">
      <w:pPr>
        <w:widowControl w:val="0"/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7572C" w:rsidRDefault="00B7572C" w:rsidP="00B7572C">
      <w:pPr>
        <w:widowControl w:val="0"/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7572C" w:rsidRDefault="00B7572C" w:rsidP="00B7572C">
      <w:pPr>
        <w:widowControl w:val="0"/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7572C" w:rsidRDefault="00B7572C" w:rsidP="00B7572C">
      <w:pPr>
        <w:widowControl w:val="0"/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7572C" w:rsidRDefault="00B7572C" w:rsidP="00B7572C">
      <w:pPr>
        <w:widowControl w:val="0"/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B7572C" w:rsidRPr="00286452" w:rsidRDefault="00B7572C" w:rsidP="00B7572C">
      <w:pPr>
        <w:widowControl w:val="0"/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lastRenderedPageBreak/>
        <w:t xml:space="preserve">Электронные и </w:t>
      </w:r>
      <w:proofErr w:type="spellStart"/>
      <w:r w:rsidRPr="00D67D11">
        <w:rPr>
          <w:rFonts w:ascii="Times New Roman" w:hAnsi="Times New Roman"/>
          <w:b/>
          <w:spacing w:val="-4"/>
          <w:sz w:val="28"/>
          <w:szCs w:val="28"/>
        </w:rPr>
        <w:t>Internet</w:t>
      </w:r>
      <w:proofErr w:type="spellEnd"/>
      <w:r w:rsidRPr="00D67D11">
        <w:rPr>
          <w:rFonts w:ascii="Times New Roman" w:hAnsi="Times New Roman"/>
          <w:b/>
          <w:spacing w:val="-4"/>
          <w:sz w:val="28"/>
          <w:szCs w:val="28"/>
        </w:rPr>
        <w:t>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</w:t>
      </w:r>
      <w:proofErr w:type="gramStart"/>
      <w:r>
        <w:rPr>
          <w:rFonts w:ascii="Times New Roman" w:hAnsi="Times New Roman"/>
          <w:sz w:val="28"/>
          <w:szCs w:val="28"/>
        </w:rPr>
        <w:t>решения задач обеспечения готовности слушателей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B7572C" w:rsidRDefault="00B7572C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B7572C" w:rsidRDefault="00B7572C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B7572C" w:rsidRDefault="00B7572C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lastRenderedPageBreak/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Основные принципы </w:t>
      </w:r>
      <w:proofErr w:type="gramStart"/>
      <w:r w:rsidRPr="0053617F">
        <w:rPr>
          <w:spacing w:val="-4"/>
          <w:sz w:val="28"/>
          <w:szCs w:val="28"/>
        </w:rPr>
        <w:t>курс-дизайна</w:t>
      </w:r>
      <w:proofErr w:type="gramEnd"/>
      <w:r w:rsidRPr="0053617F">
        <w:rPr>
          <w:spacing w:val="-4"/>
          <w:sz w:val="28"/>
          <w:szCs w:val="28"/>
        </w:rPr>
        <w:t xml:space="preserve">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>Оценка качества освоения программы модуля осуществляется ведущим 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B7572C" w:rsidRDefault="00B7572C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B7572C" w:rsidRDefault="00B7572C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B7572C" w:rsidRDefault="00B7572C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B7572C" w:rsidRDefault="00B7572C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B7572C" w:rsidRDefault="00B7572C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B7572C" w:rsidRDefault="00B7572C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B7572C" w:rsidRDefault="00B7572C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B7572C" w:rsidRDefault="00B7572C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8E" w:rsidRDefault="00533C8E" w:rsidP="00AE57A0">
      <w:r>
        <w:separator/>
      </w:r>
    </w:p>
  </w:endnote>
  <w:endnote w:type="continuationSeparator" w:id="0">
    <w:p w:rsidR="00533C8E" w:rsidRDefault="00533C8E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72C">
          <w:rPr>
            <w:noProof/>
          </w:rPr>
          <w:t>6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8E" w:rsidRDefault="00533C8E" w:rsidP="00AE57A0">
      <w:r>
        <w:separator/>
      </w:r>
    </w:p>
  </w:footnote>
  <w:footnote w:type="continuationSeparator" w:id="0">
    <w:p w:rsidR="00533C8E" w:rsidRDefault="00533C8E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11BC5"/>
    <w:rsid w:val="00070220"/>
    <w:rsid w:val="00087803"/>
    <w:rsid w:val="000949AC"/>
    <w:rsid w:val="000F223B"/>
    <w:rsid w:val="001115F8"/>
    <w:rsid w:val="00114A4C"/>
    <w:rsid w:val="001230D7"/>
    <w:rsid w:val="00142ACE"/>
    <w:rsid w:val="0018137B"/>
    <w:rsid w:val="001B44AF"/>
    <w:rsid w:val="0020653B"/>
    <w:rsid w:val="00270880"/>
    <w:rsid w:val="00286452"/>
    <w:rsid w:val="002C5C52"/>
    <w:rsid w:val="002E2C7A"/>
    <w:rsid w:val="003D69F7"/>
    <w:rsid w:val="00406E46"/>
    <w:rsid w:val="00415C58"/>
    <w:rsid w:val="0041770D"/>
    <w:rsid w:val="004673E4"/>
    <w:rsid w:val="00494D1C"/>
    <w:rsid w:val="004A1864"/>
    <w:rsid w:val="004B002D"/>
    <w:rsid w:val="004D73D8"/>
    <w:rsid w:val="00533C8E"/>
    <w:rsid w:val="0053617F"/>
    <w:rsid w:val="0054432A"/>
    <w:rsid w:val="00567A45"/>
    <w:rsid w:val="005958F1"/>
    <w:rsid w:val="005A7597"/>
    <w:rsid w:val="005D4232"/>
    <w:rsid w:val="005E259E"/>
    <w:rsid w:val="0062635A"/>
    <w:rsid w:val="00656281"/>
    <w:rsid w:val="006564BC"/>
    <w:rsid w:val="006859F6"/>
    <w:rsid w:val="007064C8"/>
    <w:rsid w:val="007430E1"/>
    <w:rsid w:val="007A39C4"/>
    <w:rsid w:val="007A68A0"/>
    <w:rsid w:val="007B5FDF"/>
    <w:rsid w:val="007D0D3C"/>
    <w:rsid w:val="00800052"/>
    <w:rsid w:val="00831700"/>
    <w:rsid w:val="008876FC"/>
    <w:rsid w:val="009025F0"/>
    <w:rsid w:val="00907F5D"/>
    <w:rsid w:val="00956B19"/>
    <w:rsid w:val="00983698"/>
    <w:rsid w:val="00A302FE"/>
    <w:rsid w:val="00AC7A17"/>
    <w:rsid w:val="00AE57A0"/>
    <w:rsid w:val="00AF1D1D"/>
    <w:rsid w:val="00B50A6D"/>
    <w:rsid w:val="00B70815"/>
    <w:rsid w:val="00B7572C"/>
    <w:rsid w:val="00B864CD"/>
    <w:rsid w:val="00BA011E"/>
    <w:rsid w:val="00BA01A2"/>
    <w:rsid w:val="00BB109A"/>
    <w:rsid w:val="00C410DE"/>
    <w:rsid w:val="00C47C9A"/>
    <w:rsid w:val="00C566B1"/>
    <w:rsid w:val="00C818B0"/>
    <w:rsid w:val="00CA21B7"/>
    <w:rsid w:val="00CC7FF3"/>
    <w:rsid w:val="00D23E2C"/>
    <w:rsid w:val="00D43C48"/>
    <w:rsid w:val="00D577CD"/>
    <w:rsid w:val="00D67D11"/>
    <w:rsid w:val="00D9754C"/>
    <w:rsid w:val="00DA50AD"/>
    <w:rsid w:val="00DD5EC1"/>
    <w:rsid w:val="00DD7EBD"/>
    <w:rsid w:val="00DF3A76"/>
    <w:rsid w:val="00E44F09"/>
    <w:rsid w:val="00E63D9D"/>
    <w:rsid w:val="00EF0075"/>
    <w:rsid w:val="00F55D34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2547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2019-05-18T15:25:00Z</cp:lastPrinted>
  <dcterms:created xsi:type="dcterms:W3CDTF">2019-09-10T12:24:00Z</dcterms:created>
  <dcterms:modified xsi:type="dcterms:W3CDTF">2019-09-11T07:12:00Z</dcterms:modified>
</cp:coreProperties>
</file>