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F56CD6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56C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зовая подготовка молодой лошади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160F25" w:rsidP="00B0190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B0190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160F25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B0190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B9051B" w:rsidRPr="00B9051B">
        <w:rPr>
          <w:rFonts w:ascii="Times New Roman" w:hAnsi="Times New Roman"/>
          <w:b/>
          <w:color w:val="FF0000"/>
          <w:sz w:val="28"/>
          <w:szCs w:val="28"/>
        </w:rPr>
        <w:lastRenderedPageBreak/>
        <w:t>Базовая подготовка молодой лошади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B9051B" w:rsidRDefault="00B9051B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AB7F2D">
        <w:rPr>
          <w:rFonts w:ascii="Times New Roman" w:hAnsi="Times New Roman"/>
          <w:b/>
          <w:color w:val="FF0000"/>
          <w:sz w:val="28"/>
          <w:szCs w:val="28"/>
        </w:rPr>
        <w:t>1</w:t>
      </w:r>
      <w:r w:rsidR="00B0190F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9051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B7F2D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B7F2D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9051B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B7F2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0190F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B7F2D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B0190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B7F2D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B0190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976F8" w:rsidRDefault="007976F8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bookmarkStart w:id="0" w:name="_GoBack"/>
      <w:r w:rsidR="00FB2484" w:rsidRPr="00261C88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bookmarkEnd w:id="0"/>
      <w:r w:rsidR="00B9051B" w:rsidRPr="00B9051B">
        <w:rPr>
          <w:rFonts w:ascii="Times New Roman" w:hAnsi="Times New Roman"/>
          <w:b/>
          <w:i/>
          <w:color w:val="FF0000"/>
          <w:sz w:val="28"/>
          <w:szCs w:val="28"/>
        </w:rPr>
        <w:t>Базовая подготовка молодой лошади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9051B" w:rsidP="00B905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6662" w:type="dxa"/>
            <w:vAlign w:val="center"/>
          </w:tcPr>
          <w:p w:rsidR="00FB2484" w:rsidRPr="003D69F7" w:rsidRDefault="00B9051B" w:rsidP="00B9051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proofErr w:type="gramStart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Шкала тренинга лошади и всадника: ритм, гибкость, контакт, импульс, прямолинейность, сбор.</w:t>
            </w:r>
            <w:proofErr w:type="gramEnd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Проводимость.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взаимопонимания и доверия.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толчковой силы лошади.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несущей силы движения лошади.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Желание лошад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и к сбору, готовность к сбору.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Отличие рабочих аллюров </w:t>
            </w:r>
            <w:proofErr w:type="gramStart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собранных. Каденция.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9051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6662" w:type="dxa"/>
            <w:vAlign w:val="center"/>
          </w:tcPr>
          <w:p w:rsidR="00FB2484" w:rsidRPr="003D69F7" w:rsidRDefault="00B9051B" w:rsidP="00B9051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Равновесие на переду, на заду, среднее равновесие.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Относительное поднятие шеи, абсолютное поднятие шеи.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Гимнастика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Галоп – как средство тренировки.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Осаживание по дуге – упражнение для поднятия спины и подведения зада.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Уступка шенкелю на всех аллюрах. Уступки по стенкам, диагоналям, вольтам, </w:t>
            </w:r>
            <w:proofErr w:type="gramStart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серпантине</w:t>
            </w:r>
            <w:proofErr w:type="gramEnd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и т.д.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Поворот на переду. Улучшение равновесия, усиление чуткости всадника к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Выполнение упражнений для раскрепощения, улучшения баланса и равновесия. Наблюдение за динамикой улучшения аллюров и </w:t>
            </w:r>
            <w:proofErr w:type="spellStart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раскрепощенности</w:t>
            </w:r>
            <w:proofErr w:type="spellEnd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лошади в процессе регулярных тренировок с применением необходимых упражнений и разработок. Подведение итогов.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B9051B" w:rsidRPr="00B9051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Базовая подготовка молодой лошади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9051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9051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76F8" w:rsidRDefault="007976F8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Pr="00D67D1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C4" w:rsidRDefault="008D7DC4" w:rsidP="00AE57A0">
      <w:r>
        <w:separator/>
      </w:r>
    </w:p>
  </w:endnote>
  <w:endnote w:type="continuationSeparator" w:id="0">
    <w:p w:rsidR="008D7DC4" w:rsidRDefault="008D7DC4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C88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C4" w:rsidRDefault="008D7DC4" w:rsidP="00AE57A0">
      <w:r>
        <w:separator/>
      </w:r>
    </w:p>
  </w:footnote>
  <w:footnote w:type="continuationSeparator" w:id="0">
    <w:p w:rsidR="008D7DC4" w:rsidRDefault="008D7DC4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60F25"/>
    <w:rsid w:val="0018137B"/>
    <w:rsid w:val="0020653B"/>
    <w:rsid w:val="00261C88"/>
    <w:rsid w:val="00270880"/>
    <w:rsid w:val="00286452"/>
    <w:rsid w:val="002C5C52"/>
    <w:rsid w:val="003D69F7"/>
    <w:rsid w:val="00406E46"/>
    <w:rsid w:val="00414E80"/>
    <w:rsid w:val="00415FF1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687EB7"/>
    <w:rsid w:val="007064C8"/>
    <w:rsid w:val="007976F8"/>
    <w:rsid w:val="007A39C4"/>
    <w:rsid w:val="007A68A0"/>
    <w:rsid w:val="007B5FDF"/>
    <w:rsid w:val="00800052"/>
    <w:rsid w:val="00831700"/>
    <w:rsid w:val="008876FC"/>
    <w:rsid w:val="00896DA6"/>
    <w:rsid w:val="008D7DC4"/>
    <w:rsid w:val="008E34C6"/>
    <w:rsid w:val="009025F0"/>
    <w:rsid w:val="00907F5D"/>
    <w:rsid w:val="00A302FE"/>
    <w:rsid w:val="00A745B0"/>
    <w:rsid w:val="00AB7F2D"/>
    <w:rsid w:val="00AE57A0"/>
    <w:rsid w:val="00AE777E"/>
    <w:rsid w:val="00B0190F"/>
    <w:rsid w:val="00B334A8"/>
    <w:rsid w:val="00B50A6D"/>
    <w:rsid w:val="00B70815"/>
    <w:rsid w:val="00B864CD"/>
    <w:rsid w:val="00B9051B"/>
    <w:rsid w:val="00BA011E"/>
    <w:rsid w:val="00BA01A2"/>
    <w:rsid w:val="00BB109A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5071"/>
    <w:rsid w:val="00D67D11"/>
    <w:rsid w:val="00D9754C"/>
    <w:rsid w:val="00DA50AD"/>
    <w:rsid w:val="00DD7EBD"/>
    <w:rsid w:val="00DF3A76"/>
    <w:rsid w:val="00E20788"/>
    <w:rsid w:val="00E44F09"/>
    <w:rsid w:val="00E63D9D"/>
    <w:rsid w:val="00F55D34"/>
    <w:rsid w:val="00F56CD6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2019-09-10T12:06:00Z</dcterms:created>
  <dcterms:modified xsi:type="dcterms:W3CDTF">2019-09-11T07:34:00Z</dcterms:modified>
</cp:coreProperties>
</file>