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D262B4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62B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Основные принципы </w:t>
            </w:r>
            <w:proofErr w:type="gramStart"/>
            <w:r w:rsidRPr="00D262B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курс-диза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йна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на соревнованиях по конкуру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20653B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20653B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D262B4" w:rsidRPr="00D262B4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Основные принципы </w:t>
      </w:r>
      <w:proofErr w:type="gramStart"/>
      <w:r w:rsidR="00D262B4" w:rsidRPr="00D262B4">
        <w:rPr>
          <w:rFonts w:ascii="Times New Roman" w:hAnsi="Times New Roman"/>
          <w:b/>
          <w:color w:val="FF0000"/>
          <w:sz w:val="28"/>
          <w:szCs w:val="28"/>
        </w:rPr>
        <w:t>курс-дизайна</w:t>
      </w:r>
      <w:proofErr w:type="gramEnd"/>
      <w:r w:rsidR="00D262B4" w:rsidRPr="00D262B4">
        <w:rPr>
          <w:rFonts w:ascii="Times New Roman" w:hAnsi="Times New Roman"/>
          <w:b/>
          <w:color w:val="FF0000"/>
          <w:sz w:val="28"/>
          <w:szCs w:val="28"/>
        </w:rPr>
        <w:t xml:space="preserve"> на соревнованиях по конкуру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3D69F7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416279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262B4" w:rsidP="00416279">
            <w:pPr>
              <w:jc w:val="left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Принципы построения маршрутов. </w:t>
            </w:r>
            <w:r w:rsidR="000C33E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Конфигурации препятствий.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4162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262B4" w:rsidP="00416279">
            <w:pPr>
              <w:jc w:val="left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построения маршрутов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6859F6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D69F7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0C33E5" w:rsidRPr="000C33E5">
        <w:rPr>
          <w:rFonts w:ascii="Times New Roman" w:hAnsi="Times New Roman"/>
          <w:b/>
          <w:i/>
          <w:color w:val="FF0000"/>
          <w:sz w:val="28"/>
          <w:szCs w:val="28"/>
        </w:rPr>
        <w:t xml:space="preserve">Основные принципы </w:t>
      </w:r>
      <w:proofErr w:type="gramStart"/>
      <w:r w:rsidR="000C33E5" w:rsidRPr="000C33E5">
        <w:rPr>
          <w:rFonts w:ascii="Times New Roman" w:hAnsi="Times New Roman"/>
          <w:b/>
          <w:i/>
          <w:color w:val="FF0000"/>
          <w:sz w:val="28"/>
          <w:szCs w:val="28"/>
        </w:rPr>
        <w:t>курс-дизайна</w:t>
      </w:r>
      <w:proofErr w:type="gramEnd"/>
      <w:r w:rsidR="000C33E5" w:rsidRPr="000C33E5">
        <w:rPr>
          <w:rFonts w:ascii="Times New Roman" w:hAnsi="Times New Roman"/>
          <w:b/>
          <w:i/>
          <w:color w:val="FF0000"/>
          <w:sz w:val="28"/>
          <w:szCs w:val="28"/>
        </w:rPr>
        <w:t xml:space="preserve"> на соревнованиях по конкуру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896DA6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6DA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построения маршрутов. Конфигурации препятствий</w:t>
            </w:r>
          </w:p>
        </w:tc>
        <w:tc>
          <w:tcPr>
            <w:tcW w:w="6662" w:type="dxa"/>
            <w:vAlign w:val="center"/>
          </w:tcPr>
          <w:p w:rsidR="00FB2484" w:rsidRPr="003D69F7" w:rsidRDefault="00DC009B" w:rsidP="00DC009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DC009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История развития </w:t>
            </w:r>
            <w:proofErr w:type="gramStart"/>
            <w:r w:rsidRPr="00DC009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курс-дизайна</w:t>
            </w:r>
            <w:proofErr w:type="gramEnd"/>
            <w:r w:rsidRPr="00DC009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Сфера ответственности кд до начала соревнований. Организация и дизайн турнира, взаимодействие с оргкомитетом и Главной судейской коллегией.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Месторасположение и дизайн конкурных полей, грунты.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Дистанции между препятствиями. Как измеряется дистанция. От чего зависит дистанция между препятствиями. Скорость движения по маршруту.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Системы препятствий. Дистанции в системах. Конфигурация, месторасположение.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896DA6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gramStart"/>
            <w:r w:rsidRPr="00896DA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Практическое</w:t>
            </w:r>
            <w:proofErr w:type="gramEnd"/>
            <w:r w:rsidRPr="00896DA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построения маршрутов</w:t>
            </w:r>
          </w:p>
        </w:tc>
        <w:tc>
          <w:tcPr>
            <w:tcW w:w="6662" w:type="dxa"/>
            <w:vAlign w:val="center"/>
          </w:tcPr>
          <w:p w:rsidR="00DC009B" w:rsidRPr="00DC009B" w:rsidRDefault="00DC009B" w:rsidP="00DC009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C009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Мастер-план. Создание и анализ маршрутов. Теория построения маршрута. Особенности построения маршрутов для молодых лошадей.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Рисование маршрутов, обсуждение.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Практическая работа в манеже. Обсуждение домашнего задания. Построение маршрутов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. </w:t>
            </w:r>
            <w:r w:rsidRPr="00DC009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Факторы, влияющие на преодоление препятствий.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Типы конструкции и дизайн препятствий. Спонсорские препятствия. Декорирование поля.</w:t>
            </w:r>
          </w:p>
          <w:p w:rsidR="00FB2484" w:rsidRPr="003D69F7" w:rsidRDefault="00DC009B" w:rsidP="00DC009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C009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Курс-дизайн для пони. Особенности, цели и задачи построения маршрутов для детей.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Просмотр видеоматериала.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C009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Контрольный тест.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896DA6" w:rsidRPr="00896DA6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Основные принципы курс-дизайна на соревнованиях по конкуру</w:t>
            </w:r>
            <w:r w:rsidR="00896DA6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C009B" w:rsidRDefault="00DC009B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C009B" w:rsidRPr="00907F5D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E20788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6DA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построения маршр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утов. Конфигурации препятствий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E20788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96DA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Практическое построения маршрутов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009B" w:rsidRDefault="00DC009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C009B" w:rsidRDefault="00DC009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</w:t>
      </w:r>
      <w:bookmarkStart w:id="0" w:name="_GoBack"/>
      <w:bookmarkEnd w:id="0"/>
      <w:r w:rsidRPr="00070220">
        <w:rPr>
          <w:rFonts w:ascii="Times New Roman" w:hAnsi="Times New Roman"/>
          <w:b/>
          <w:sz w:val="28"/>
          <w:szCs w:val="28"/>
        </w:rPr>
        <w:t>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6D" w:rsidRDefault="000E5B6D" w:rsidP="00AE57A0">
      <w:r>
        <w:separator/>
      </w:r>
    </w:p>
  </w:endnote>
  <w:endnote w:type="continuationSeparator" w:id="0">
    <w:p w:rsidR="000E5B6D" w:rsidRDefault="000E5B6D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279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6D" w:rsidRDefault="000E5B6D" w:rsidP="00AE57A0">
      <w:r>
        <w:separator/>
      </w:r>
    </w:p>
  </w:footnote>
  <w:footnote w:type="continuationSeparator" w:id="0">
    <w:p w:rsidR="000E5B6D" w:rsidRDefault="000E5B6D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A44B6"/>
    <w:rsid w:val="000C33E5"/>
    <w:rsid w:val="000E5B6D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D69F7"/>
    <w:rsid w:val="00406E46"/>
    <w:rsid w:val="00416279"/>
    <w:rsid w:val="004673E4"/>
    <w:rsid w:val="004903B8"/>
    <w:rsid w:val="00494D1C"/>
    <w:rsid w:val="004A1864"/>
    <w:rsid w:val="004B002D"/>
    <w:rsid w:val="004D73D8"/>
    <w:rsid w:val="0053617F"/>
    <w:rsid w:val="0054432A"/>
    <w:rsid w:val="00567A45"/>
    <w:rsid w:val="005A7597"/>
    <w:rsid w:val="005D4232"/>
    <w:rsid w:val="005E259E"/>
    <w:rsid w:val="0062635A"/>
    <w:rsid w:val="006859F6"/>
    <w:rsid w:val="007064C8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A302FE"/>
    <w:rsid w:val="00A54BA1"/>
    <w:rsid w:val="00AE57A0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262B4"/>
    <w:rsid w:val="00D43C48"/>
    <w:rsid w:val="00D577CD"/>
    <w:rsid w:val="00D67D11"/>
    <w:rsid w:val="00D9754C"/>
    <w:rsid w:val="00DA50AD"/>
    <w:rsid w:val="00DC009B"/>
    <w:rsid w:val="00DD7EBD"/>
    <w:rsid w:val="00DF3A76"/>
    <w:rsid w:val="00E20788"/>
    <w:rsid w:val="00E44F09"/>
    <w:rsid w:val="00E63D9D"/>
    <w:rsid w:val="00F55D34"/>
    <w:rsid w:val="00F5664D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2019-05-18T15:25:00Z</cp:lastPrinted>
  <dcterms:created xsi:type="dcterms:W3CDTF">2019-09-10T07:51:00Z</dcterms:created>
  <dcterms:modified xsi:type="dcterms:W3CDTF">2019-09-11T07:31:00Z</dcterms:modified>
</cp:coreProperties>
</file>